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C9" w:rsidRPr="005B39C9" w:rsidRDefault="005B39C9" w:rsidP="005B39C9">
      <w:pPr>
        <w:widowControl/>
        <w:shd w:val="clear" w:color="auto" w:fill="FFFFFF"/>
        <w:spacing w:line="360" w:lineRule="auto"/>
        <w:jc w:val="center"/>
        <w:rPr>
          <w:rFonts w:asciiTheme="minorEastAsia" w:hAnsiTheme="minorEastAsia" w:cs="宋体"/>
          <w:b/>
          <w:color w:val="000000"/>
          <w:kern w:val="0"/>
          <w:sz w:val="32"/>
          <w:szCs w:val="32"/>
        </w:rPr>
      </w:pPr>
      <w:r w:rsidRPr="005B39C9">
        <w:rPr>
          <w:rFonts w:asciiTheme="minorEastAsia" w:hAnsiTheme="minorEastAsia" w:cs="宋体" w:hint="eastAsia"/>
          <w:b/>
          <w:color w:val="000000"/>
          <w:kern w:val="0"/>
          <w:sz w:val="32"/>
          <w:szCs w:val="32"/>
        </w:rPr>
        <w:t>江苏恒顺醋业股份有限公司</w:t>
      </w:r>
    </w:p>
    <w:p w:rsidR="005B39C9" w:rsidRPr="005B39C9" w:rsidRDefault="003C7B11" w:rsidP="005B39C9">
      <w:pPr>
        <w:widowControl/>
        <w:shd w:val="clear" w:color="auto" w:fill="FFFFFF"/>
        <w:spacing w:line="360" w:lineRule="auto"/>
        <w:jc w:val="center"/>
        <w:rPr>
          <w:rFonts w:asciiTheme="minorEastAsia" w:hAnsiTheme="minorEastAsia" w:cs="宋体"/>
          <w:b/>
          <w:color w:val="000000"/>
          <w:kern w:val="0"/>
          <w:sz w:val="32"/>
          <w:szCs w:val="32"/>
        </w:rPr>
      </w:pPr>
      <w:r w:rsidRPr="003C7B11">
        <w:rPr>
          <w:rFonts w:asciiTheme="minorEastAsia" w:hAnsiTheme="minorEastAsia" w:cs="宋体" w:hint="eastAsia"/>
          <w:b/>
          <w:color w:val="000000"/>
          <w:kern w:val="0"/>
          <w:sz w:val="32"/>
          <w:szCs w:val="32"/>
        </w:rPr>
        <w:t>总经理工作细则</w:t>
      </w:r>
    </w:p>
    <w:p w:rsidR="005B39C9" w:rsidRDefault="00BA6513" w:rsidP="00BA6513">
      <w:pPr>
        <w:widowControl/>
        <w:shd w:val="clear" w:color="auto" w:fill="FFFFFF"/>
        <w:spacing w:line="360" w:lineRule="auto"/>
        <w:jc w:val="center"/>
        <w:rPr>
          <w:rFonts w:ascii="宋体" w:hAnsi="宋体" w:hint="eastAsia"/>
          <w:b/>
          <w:sz w:val="24"/>
          <w:szCs w:val="24"/>
        </w:rPr>
      </w:pPr>
      <w:r w:rsidRPr="00491C9A">
        <w:rPr>
          <w:rFonts w:ascii="宋体" w:hAnsi="宋体"/>
          <w:b/>
          <w:sz w:val="24"/>
          <w:szCs w:val="24"/>
        </w:rPr>
        <w:t>(2021年8月修订)</w:t>
      </w:r>
    </w:p>
    <w:p w:rsidR="00BA6513" w:rsidRDefault="00BA6513" w:rsidP="00BA6513">
      <w:pPr>
        <w:widowControl/>
        <w:shd w:val="clear" w:color="auto" w:fill="FFFFFF"/>
        <w:spacing w:line="360" w:lineRule="auto"/>
        <w:ind w:firstLine="480"/>
        <w:jc w:val="center"/>
        <w:rPr>
          <w:rFonts w:asciiTheme="minorEastAsia" w:hAnsiTheme="minorEastAsia" w:cs="宋体"/>
          <w:color w:val="000000"/>
          <w:kern w:val="0"/>
          <w:sz w:val="24"/>
          <w:szCs w:val="24"/>
        </w:rPr>
      </w:pPr>
    </w:p>
    <w:p w:rsidR="005B39C9" w:rsidRPr="009B7633" w:rsidRDefault="003C7B11" w:rsidP="009B7633">
      <w:pPr>
        <w:pStyle w:val="2"/>
        <w:jc w:val="center"/>
        <w:rPr>
          <w:sz w:val="24"/>
          <w:szCs w:val="24"/>
        </w:rPr>
      </w:pPr>
      <w:r w:rsidRPr="009B7633">
        <w:rPr>
          <w:rFonts w:hint="eastAsia"/>
          <w:sz w:val="24"/>
          <w:szCs w:val="24"/>
        </w:rPr>
        <w:t>第一章 总则</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第一条 为了进一步完善</w:t>
      </w:r>
      <w:r w:rsidR="00EB2881">
        <w:rPr>
          <w:rFonts w:asciiTheme="minorEastAsia" w:hAnsiTheme="minorEastAsia" w:cs="宋体" w:hint="eastAsia"/>
          <w:color w:val="000000"/>
          <w:kern w:val="0"/>
          <w:sz w:val="24"/>
          <w:szCs w:val="24"/>
        </w:rPr>
        <w:t>江苏恒顺醋业股份有限公司</w:t>
      </w:r>
      <w:r w:rsidR="006759A1">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以下简称</w:t>
      </w:r>
      <w:r w:rsidR="006759A1">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公司或本公司</w:t>
      </w:r>
      <w:r w:rsidR="006759A1">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法人治理结构</w:t>
      </w:r>
      <w:r w:rsidR="00F63C85">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规范经理层等高级管理人员的经营管理行为</w:t>
      </w:r>
      <w:r w:rsidR="00F63C85">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促进公司持续健康发展，保障公司、股东、债权人及其他利益相关方的合法权益，根据《中华人民共和国公司法》、《上市公司治理准则》等法律、行政法规、规范性文件和《</w:t>
      </w:r>
      <w:r w:rsidR="00EB2881">
        <w:rPr>
          <w:rFonts w:asciiTheme="minorEastAsia" w:hAnsiTheme="minorEastAsia" w:cs="宋体" w:hint="eastAsia"/>
          <w:color w:val="000000"/>
          <w:kern w:val="0"/>
          <w:sz w:val="24"/>
          <w:szCs w:val="24"/>
        </w:rPr>
        <w:t>江苏恒顺醋业股份有限公司</w:t>
      </w:r>
      <w:r w:rsidRPr="003C7B11">
        <w:rPr>
          <w:rFonts w:asciiTheme="minorEastAsia" w:hAnsiTheme="minorEastAsia" w:cs="宋体" w:hint="eastAsia"/>
          <w:color w:val="000000"/>
          <w:kern w:val="0"/>
          <w:sz w:val="24"/>
          <w:szCs w:val="24"/>
        </w:rPr>
        <w:t>章程》（以下简称：《公司章程》）的有关规定，制定本细则。</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第二条 本细则所称高级管理人员包括：总经理、副总经理、董事会秘书、财务负责人以及《公司章程》规定的其他高级管理人员。</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第三条 公司总经理由董事会聘任或解聘，向董事会负责，主持公司日常生产经营和管理工作，负责贯彻落实股东大会、董事会决议。</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第四条 总经理等高级管理人员应当严格按照法律、行政法规、规范性文件和《公司章程》的规定，忠实、诚信、勤勉地履行职责，切实维护公司利益。</w:t>
      </w:r>
    </w:p>
    <w:p w:rsidR="005B39C9" w:rsidRPr="009B7633" w:rsidRDefault="003C7B11" w:rsidP="009B7633">
      <w:pPr>
        <w:pStyle w:val="2"/>
        <w:jc w:val="center"/>
        <w:rPr>
          <w:sz w:val="24"/>
          <w:szCs w:val="24"/>
        </w:rPr>
      </w:pPr>
      <w:r w:rsidRPr="003C7B11">
        <w:rPr>
          <w:rFonts w:hint="eastAsia"/>
          <w:sz w:val="24"/>
          <w:szCs w:val="24"/>
        </w:rPr>
        <w:t>第二章 高级管理人员的任职资格与任免程序</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第五条 公司设总经理一名，由董事长提名，董事会聘任或解聘；公司副总经理、</w:t>
      </w:r>
      <w:r w:rsidR="00F63C85">
        <w:rPr>
          <w:rFonts w:asciiTheme="minorEastAsia" w:hAnsiTheme="minorEastAsia" w:cs="宋体" w:hint="eastAsia"/>
          <w:color w:val="000000"/>
          <w:kern w:val="0"/>
          <w:sz w:val="24"/>
          <w:szCs w:val="24"/>
        </w:rPr>
        <w:t>财务负责人</w:t>
      </w:r>
      <w:r w:rsidRPr="003C7B11">
        <w:rPr>
          <w:rFonts w:asciiTheme="minorEastAsia" w:hAnsiTheme="minorEastAsia" w:cs="宋体" w:hint="eastAsia"/>
          <w:color w:val="000000"/>
          <w:kern w:val="0"/>
          <w:sz w:val="24"/>
          <w:szCs w:val="24"/>
        </w:rPr>
        <w:t>由总经理提名，董事会聘任或解聘</w:t>
      </w:r>
      <w:r w:rsidR="00563019" w:rsidRPr="00260989">
        <w:rPr>
          <w:rFonts w:asciiTheme="minorEastAsia" w:hAnsiTheme="minorEastAsia" w:cs="宋体" w:hint="eastAsia"/>
          <w:color w:val="000000"/>
          <w:kern w:val="0"/>
          <w:sz w:val="24"/>
          <w:szCs w:val="24"/>
        </w:rPr>
        <w:t>；董事会秘书由董事长提名，董事会聘任或解聘。</w:t>
      </w:r>
      <w:r w:rsidRPr="00260989">
        <w:rPr>
          <w:rFonts w:asciiTheme="minorEastAsia" w:hAnsiTheme="minorEastAsia" w:cs="宋体" w:hint="eastAsia"/>
          <w:color w:val="000000"/>
          <w:kern w:val="0"/>
          <w:sz w:val="24"/>
          <w:szCs w:val="24"/>
        </w:rPr>
        <w:t>副总经理在总经理领导下开展工作。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第六条 总经理、副总经理及其他高级管理人员每届任期三年，可连聘连任。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第七条 总经理、副总经理及其他高级管理人员必须专职，不得在控股股东、实际控制人及其控制的其他企业中担任除董事、监事以外的其他职务，不得在控股股东、实际控制人及其控制的其他企业领薪。</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第八条 董事可受聘兼任总经理、副总经理及其他高级管理人员，但兼任总经理、副总经理及其他高级管理人员职务的董事不得超过公司董事的二分之一。</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lastRenderedPageBreak/>
        <w:t>第九条 总经理及其他高级管理人员的任职资格应当具备下列条件：</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（一）具有较丰富的经济理论知识、管理知识及实践经验，具有较强的经营管理能力；</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（二）具有调动员工积极性、建立合理的组织机构、协调各种内外关系和统揽全局的能力；</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（三）具有一定年限的企业管理或经济工作经历，精通本行业、熟悉多种行业的生产经营业务，掌握国家有关政策、法律法规；</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（四）诚信勤勉、廉洁奉公、民主公道；</w:t>
      </w:r>
    </w:p>
    <w:p w:rsidR="005B39C9" w:rsidRDefault="00BC2D15"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（五）</w:t>
      </w:r>
      <w:r w:rsidR="00627A39">
        <w:rPr>
          <w:rFonts w:asciiTheme="minorEastAsia" w:hAnsiTheme="minorEastAsia" w:cs="宋体" w:hint="eastAsia"/>
          <w:color w:val="000000"/>
          <w:kern w:val="0"/>
          <w:sz w:val="24"/>
          <w:szCs w:val="24"/>
        </w:rPr>
        <w:t>年富力强，</w:t>
      </w:r>
      <w:r w:rsidR="003C7B11" w:rsidRPr="003C7B11">
        <w:rPr>
          <w:rFonts w:asciiTheme="minorEastAsia" w:hAnsiTheme="minorEastAsia" w:cs="宋体" w:hint="eastAsia"/>
          <w:color w:val="000000"/>
          <w:kern w:val="0"/>
          <w:sz w:val="24"/>
          <w:szCs w:val="24"/>
        </w:rPr>
        <w:t>有较强的使命感、责任感和积极开拓的进取精神。</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第十条 有下列情形之一的，不得担任公司高级管理人员：</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（一）无民事行为能力或者限制民事行为能力；</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（二）因贪污、贿赂、侵占财产、挪用财产罪或者破坏社会</w:t>
      </w:r>
      <w:r w:rsidR="00D36B55">
        <w:rPr>
          <w:rFonts w:asciiTheme="minorEastAsia" w:hAnsiTheme="minorEastAsia" w:cs="宋体" w:hint="eastAsia"/>
          <w:color w:val="000000"/>
          <w:kern w:val="0"/>
          <w:sz w:val="24"/>
          <w:szCs w:val="24"/>
        </w:rPr>
        <w:t>主义市场</w:t>
      </w:r>
      <w:r w:rsidRPr="003C7B11">
        <w:rPr>
          <w:rFonts w:asciiTheme="minorEastAsia" w:hAnsiTheme="minorEastAsia" w:cs="宋体" w:hint="eastAsia"/>
          <w:color w:val="000000"/>
          <w:kern w:val="0"/>
          <w:sz w:val="24"/>
          <w:szCs w:val="24"/>
        </w:rPr>
        <w:t>经济秩序，被判处刑罚，执行期满未逾</w:t>
      </w:r>
      <w:r w:rsidR="00627A39">
        <w:rPr>
          <w:rFonts w:asciiTheme="minorEastAsia" w:hAnsiTheme="minorEastAsia" w:cs="宋体" w:hint="eastAsia"/>
          <w:color w:val="000000"/>
          <w:kern w:val="0"/>
          <w:sz w:val="24"/>
          <w:szCs w:val="24"/>
        </w:rPr>
        <w:t>5</w:t>
      </w:r>
      <w:r w:rsidRPr="003C7B11">
        <w:rPr>
          <w:rFonts w:asciiTheme="minorEastAsia" w:hAnsiTheme="minorEastAsia" w:cs="宋体" w:hint="eastAsia"/>
          <w:color w:val="000000"/>
          <w:kern w:val="0"/>
          <w:sz w:val="24"/>
          <w:szCs w:val="24"/>
        </w:rPr>
        <w:t>年，或者因犯罪被剥夺政治权利</w:t>
      </w:r>
      <w:r w:rsidR="00D36B55">
        <w:rPr>
          <w:rFonts w:asciiTheme="minorEastAsia" w:hAnsiTheme="minorEastAsia" w:cs="宋体" w:hint="eastAsia"/>
          <w:color w:val="000000"/>
          <w:kern w:val="0"/>
          <w:sz w:val="24"/>
          <w:szCs w:val="24"/>
        </w:rPr>
        <w:t>，</w:t>
      </w:r>
      <w:r w:rsidRPr="003C7B11">
        <w:rPr>
          <w:rFonts w:asciiTheme="minorEastAsia" w:hAnsiTheme="minorEastAsia" w:cs="宋体" w:hint="eastAsia"/>
          <w:color w:val="000000"/>
          <w:kern w:val="0"/>
          <w:sz w:val="24"/>
          <w:szCs w:val="24"/>
        </w:rPr>
        <w:t>执行期满未逾</w:t>
      </w:r>
      <w:r w:rsidR="00D36B55">
        <w:rPr>
          <w:rFonts w:asciiTheme="minorEastAsia" w:hAnsiTheme="minorEastAsia" w:cs="宋体" w:hint="eastAsia"/>
          <w:color w:val="000000"/>
          <w:kern w:val="0"/>
          <w:sz w:val="24"/>
          <w:szCs w:val="24"/>
        </w:rPr>
        <w:t>5</w:t>
      </w:r>
      <w:r w:rsidRPr="003C7B11">
        <w:rPr>
          <w:rFonts w:asciiTheme="minorEastAsia" w:hAnsiTheme="minorEastAsia" w:cs="宋体" w:hint="eastAsia"/>
          <w:color w:val="000000"/>
          <w:kern w:val="0"/>
          <w:sz w:val="24"/>
          <w:szCs w:val="24"/>
        </w:rPr>
        <w:t>年；</w:t>
      </w:r>
    </w:p>
    <w:p w:rsidR="00D36B55" w:rsidRDefault="003C7B11" w:rsidP="00D36B55">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w:t>
      </w:r>
      <w:r w:rsidR="00D36B55" w:rsidRPr="00D36B55">
        <w:rPr>
          <w:rFonts w:asciiTheme="minorEastAsia" w:hAnsiTheme="minorEastAsia" w:cs="宋体"/>
          <w:color w:val="000000"/>
          <w:kern w:val="0"/>
          <w:sz w:val="24"/>
          <w:szCs w:val="24"/>
        </w:rPr>
        <w:t>担任破产清算的公司、企业的董事或者厂长、经理，对该公司、企业的破产负有个人责任的，自该公司、企业破产清算完结之日起未逾3年；</w:t>
      </w:r>
    </w:p>
    <w:p w:rsidR="00D36B55" w:rsidRDefault="003C7B11" w:rsidP="00D36B55">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w:t>
      </w:r>
      <w:r w:rsidR="00D36B55" w:rsidRPr="00D36B55">
        <w:rPr>
          <w:rFonts w:asciiTheme="minorEastAsia" w:hAnsiTheme="minorEastAsia" w:cs="宋体"/>
          <w:color w:val="000000"/>
          <w:kern w:val="0"/>
          <w:sz w:val="24"/>
          <w:szCs w:val="24"/>
        </w:rPr>
        <w:t>担任因违法被吊销营业执照、责令关闭的公司、企业的法定代表人，并负有个人责任的，自该公司、企业被吊销营业执照之日起未逾3年；</w:t>
      </w:r>
    </w:p>
    <w:p w:rsidR="005B39C9" w:rsidRPr="00F44F66" w:rsidRDefault="003C7B11"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（五）个人所负数额较大的债务到期未清偿；</w:t>
      </w:r>
    </w:p>
    <w:p w:rsidR="005B39C9" w:rsidRPr="00F44F66" w:rsidRDefault="003C7B11"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w:t>
      </w:r>
      <w:r w:rsidR="00D36B55" w:rsidRPr="00F44F66">
        <w:rPr>
          <w:rFonts w:asciiTheme="minorEastAsia" w:hAnsiTheme="minorEastAsia" w:cs="宋体"/>
          <w:color w:val="000000"/>
          <w:kern w:val="0"/>
          <w:sz w:val="24"/>
          <w:szCs w:val="24"/>
        </w:rPr>
        <w:t>被中国证监会处以证券市场禁入处罚，期限未满的</w:t>
      </w:r>
      <w:r w:rsidRPr="003C7B11">
        <w:rPr>
          <w:rFonts w:asciiTheme="minorEastAsia" w:hAnsiTheme="minorEastAsia" w:cs="宋体" w:hint="eastAsia"/>
          <w:color w:val="000000"/>
          <w:kern w:val="0"/>
          <w:sz w:val="24"/>
          <w:szCs w:val="24"/>
        </w:rPr>
        <w:t>；</w:t>
      </w:r>
    </w:p>
    <w:p w:rsidR="005B39C9" w:rsidRPr="00F44F66" w:rsidRDefault="003C7B11"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（七）被证券交易所公开认定为不适合担任上市公司高级管理人员的；</w:t>
      </w:r>
    </w:p>
    <w:p w:rsidR="005B39C9" w:rsidRDefault="003C7B11"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（八）法律、行政法规或部门规章规定的其他情形。</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第十一条 公司高级管理人员不得有下列行为：</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（一）利用职权收受贿赂或者其他非法收入，侵占公司的财产；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（二）挪用公司资金；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（三）将公司资产或者资金以其个人名义或者</w:t>
      </w:r>
      <w:r w:rsidR="00D4380C">
        <w:rPr>
          <w:rFonts w:asciiTheme="minorEastAsia" w:hAnsiTheme="minorEastAsia" w:cs="宋体"/>
          <w:color w:val="000000"/>
          <w:kern w:val="0"/>
          <w:sz w:val="24"/>
          <w:szCs w:val="24"/>
        </w:rPr>
        <w:t>以</w:t>
      </w:r>
      <w:r w:rsidRPr="00F44F66">
        <w:rPr>
          <w:rFonts w:asciiTheme="minorEastAsia" w:hAnsiTheme="minorEastAsia" w:cs="宋体"/>
          <w:color w:val="000000"/>
          <w:kern w:val="0"/>
          <w:sz w:val="24"/>
          <w:szCs w:val="24"/>
        </w:rPr>
        <w:t>其他个人名义开立账户存储；</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（四）违反</w:t>
      </w:r>
      <w:r w:rsidR="00627A39">
        <w:rPr>
          <w:rFonts w:asciiTheme="minorEastAsia" w:hAnsiTheme="minorEastAsia" w:cs="宋体" w:hint="eastAsia"/>
          <w:color w:val="000000"/>
          <w:kern w:val="0"/>
          <w:sz w:val="24"/>
          <w:szCs w:val="24"/>
        </w:rPr>
        <w:t>《</w:t>
      </w:r>
      <w:r w:rsidR="00627A39">
        <w:rPr>
          <w:rFonts w:asciiTheme="minorEastAsia" w:hAnsiTheme="minorEastAsia" w:cs="宋体"/>
          <w:color w:val="000000"/>
          <w:kern w:val="0"/>
          <w:sz w:val="24"/>
          <w:szCs w:val="24"/>
        </w:rPr>
        <w:t>公司</w:t>
      </w:r>
      <w:r w:rsidRPr="00F44F66">
        <w:rPr>
          <w:rFonts w:asciiTheme="minorEastAsia" w:hAnsiTheme="minorEastAsia" w:cs="宋体"/>
          <w:color w:val="000000"/>
          <w:kern w:val="0"/>
          <w:sz w:val="24"/>
          <w:szCs w:val="24"/>
        </w:rPr>
        <w:t>章程</w:t>
      </w:r>
      <w:r w:rsidR="00627A39">
        <w:rPr>
          <w:rFonts w:asciiTheme="minorEastAsia" w:hAnsiTheme="minorEastAsia" w:cs="宋体"/>
          <w:color w:val="000000"/>
          <w:kern w:val="0"/>
          <w:sz w:val="24"/>
          <w:szCs w:val="24"/>
        </w:rPr>
        <w:t>》</w:t>
      </w:r>
      <w:r w:rsidRPr="00F44F66">
        <w:rPr>
          <w:rFonts w:asciiTheme="minorEastAsia" w:hAnsiTheme="minorEastAsia" w:cs="宋体"/>
          <w:color w:val="000000"/>
          <w:kern w:val="0"/>
          <w:sz w:val="24"/>
          <w:szCs w:val="24"/>
        </w:rPr>
        <w:t xml:space="preserve">的规定，未经股东大会或董事会同意，将公司资金借贷给他人或者以公司财产为他人提供担保；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lastRenderedPageBreak/>
        <w:t>（五）违反</w:t>
      </w:r>
      <w:r w:rsidR="00627A39">
        <w:rPr>
          <w:rFonts w:asciiTheme="minorEastAsia" w:hAnsiTheme="minorEastAsia" w:cs="宋体" w:hint="eastAsia"/>
          <w:color w:val="000000"/>
          <w:kern w:val="0"/>
          <w:sz w:val="24"/>
          <w:szCs w:val="24"/>
        </w:rPr>
        <w:t>《</w:t>
      </w:r>
      <w:r w:rsidR="00627A39">
        <w:rPr>
          <w:rFonts w:asciiTheme="minorEastAsia" w:hAnsiTheme="minorEastAsia" w:cs="宋体"/>
          <w:color w:val="000000"/>
          <w:kern w:val="0"/>
          <w:sz w:val="24"/>
          <w:szCs w:val="24"/>
        </w:rPr>
        <w:t>公司</w:t>
      </w:r>
      <w:r w:rsidRPr="00F44F66">
        <w:rPr>
          <w:rFonts w:asciiTheme="minorEastAsia" w:hAnsiTheme="minorEastAsia" w:cs="宋体"/>
          <w:color w:val="000000"/>
          <w:kern w:val="0"/>
          <w:sz w:val="24"/>
          <w:szCs w:val="24"/>
        </w:rPr>
        <w:t>章程</w:t>
      </w:r>
      <w:r w:rsidR="00627A39">
        <w:rPr>
          <w:rFonts w:asciiTheme="minorEastAsia" w:hAnsiTheme="minorEastAsia" w:cs="宋体"/>
          <w:color w:val="000000"/>
          <w:kern w:val="0"/>
          <w:sz w:val="24"/>
          <w:szCs w:val="24"/>
        </w:rPr>
        <w:t>》</w:t>
      </w:r>
      <w:r w:rsidRPr="00F44F66">
        <w:rPr>
          <w:rFonts w:asciiTheme="minorEastAsia" w:hAnsiTheme="minorEastAsia" w:cs="宋体"/>
          <w:color w:val="000000"/>
          <w:kern w:val="0"/>
          <w:sz w:val="24"/>
          <w:szCs w:val="24"/>
        </w:rPr>
        <w:t xml:space="preserve">的规定或未经股东大会同意，与本公司订立合同或者进行交易；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（六）未经股东大会同意，利用职务便利，为自己或他人谋取本应属于公司的商业机会，自营或者为他人经营与本公司同类的业务；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（七）接受与公司交易的佣金归为己有；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（八）擅自披露公司秘密； </w:t>
      </w:r>
    </w:p>
    <w:p w:rsidR="00F44F66" w:rsidRPr="00F44F66" w:rsidRDefault="00F44F66" w:rsidP="00F44F66">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 xml:space="preserve">（九）利用其关联关系损害公司利益； </w:t>
      </w:r>
    </w:p>
    <w:p w:rsidR="00F44F66" w:rsidRDefault="00F44F66" w:rsidP="00FC4ADE">
      <w:pPr>
        <w:widowControl/>
        <w:shd w:val="clear" w:color="auto" w:fill="FFFFFF"/>
        <w:spacing w:line="360" w:lineRule="auto"/>
        <w:ind w:firstLineChars="200" w:firstLine="480"/>
        <w:rPr>
          <w:rFonts w:asciiTheme="minorEastAsia" w:hAnsiTheme="minorEastAsia" w:cs="宋体"/>
          <w:color w:val="000000"/>
          <w:kern w:val="0"/>
          <w:sz w:val="24"/>
          <w:szCs w:val="24"/>
        </w:rPr>
      </w:pPr>
      <w:r w:rsidRPr="00F44F66">
        <w:rPr>
          <w:rFonts w:asciiTheme="minorEastAsia" w:hAnsiTheme="minorEastAsia" w:cs="宋体"/>
          <w:color w:val="000000"/>
          <w:kern w:val="0"/>
          <w:sz w:val="24"/>
          <w:szCs w:val="24"/>
        </w:rPr>
        <w:t>（十）</w:t>
      </w:r>
      <w:r w:rsidR="00D4380C" w:rsidRPr="00D4380C">
        <w:rPr>
          <w:rFonts w:asciiTheme="minorEastAsia" w:hAnsiTheme="minorEastAsia" w:cs="宋体" w:hint="eastAsia"/>
          <w:color w:val="000000"/>
          <w:kern w:val="0"/>
          <w:sz w:val="24"/>
          <w:szCs w:val="24"/>
        </w:rPr>
        <w:t>违反对公司忠实义务的其他行为</w:t>
      </w:r>
      <w:r w:rsidRPr="00F44F66">
        <w:rPr>
          <w:rFonts w:asciiTheme="minorEastAsia" w:hAnsiTheme="minorEastAsia" w:cs="宋体"/>
          <w:color w:val="000000"/>
          <w:kern w:val="0"/>
          <w:sz w:val="24"/>
          <w:szCs w:val="24"/>
        </w:rPr>
        <w:t>。</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高级管理人员违反本条规定所得的收入应当归公司所有；给公司造成损失的，应当承担赔偿责任。</w:t>
      </w:r>
    </w:p>
    <w:p w:rsidR="005B39C9" w:rsidRPr="009B7633" w:rsidRDefault="003C7B11" w:rsidP="009B7633">
      <w:pPr>
        <w:pStyle w:val="2"/>
        <w:jc w:val="center"/>
        <w:rPr>
          <w:sz w:val="24"/>
          <w:szCs w:val="24"/>
        </w:rPr>
      </w:pPr>
      <w:r w:rsidRPr="003C7B11">
        <w:rPr>
          <w:rFonts w:hint="eastAsia"/>
          <w:sz w:val="24"/>
          <w:szCs w:val="24"/>
        </w:rPr>
        <w:t>第三章 高级管理人员的职责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第十二条 总经理履行下列职责：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（一）组织实施董事会决议，并向董事会报告工作；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（二）主持公司的生产经营管理工作，全面负责本公司日常行政、业务、财务等工作；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（三）主持总经理办公会议，讨论有关公司经营、管理等重大事项，以及各部门、子公司提交会议审议的事项，并对会议形成的决议或决定承担领导责任；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（四）拟订公司中长期发展规划、年度经营计划、投资方案和重大经营项目，报请董事会或股东大会审议批准后实施；</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（五）拟订公司年度财务预算方案、决算方案、利润分配或弥补亏损方案，报请董事会或股东大会审议批准后实施；</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（六）拟订公司内部管理机构设置方案，报请董事会审议批准后实施；</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（七）拟订公司的基本管理制度，报请董事会审议批准后实施；</w:t>
      </w:r>
    </w:p>
    <w:p w:rsidR="00F44F66" w:rsidRDefault="00F44F66"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（八）</w:t>
      </w:r>
      <w:r w:rsidRPr="00F44F66">
        <w:rPr>
          <w:rFonts w:asciiTheme="minorEastAsia" w:hAnsiTheme="minorEastAsia" w:cs="宋体"/>
          <w:color w:val="000000"/>
          <w:kern w:val="0"/>
          <w:sz w:val="24"/>
          <w:szCs w:val="24"/>
        </w:rPr>
        <w:t>提请董事会聘任或者解聘公司副经理、财务负责人；</w:t>
      </w:r>
    </w:p>
    <w:p w:rsidR="005B39C9" w:rsidRDefault="00F44F66"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（九</w:t>
      </w:r>
      <w:r w:rsidR="003C7B11" w:rsidRPr="003C7B11">
        <w:rPr>
          <w:rFonts w:asciiTheme="minorEastAsia" w:hAnsiTheme="minorEastAsia" w:cs="宋体" w:hint="eastAsia"/>
          <w:color w:val="000000"/>
          <w:kern w:val="0"/>
          <w:sz w:val="24"/>
          <w:szCs w:val="24"/>
        </w:rPr>
        <w:t>）拟定公司员工的工资、福利、奖惩方案，决定聘任或者解聘除应由董事会决定聘任或者解聘以外的人员；</w:t>
      </w:r>
    </w:p>
    <w:p w:rsidR="005B39C9" w:rsidRDefault="00F44F66"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（十</w:t>
      </w:r>
      <w:r w:rsidR="003C7B11" w:rsidRPr="003C7B11">
        <w:rPr>
          <w:rFonts w:asciiTheme="minorEastAsia" w:hAnsiTheme="minorEastAsia" w:cs="宋体" w:hint="eastAsia"/>
          <w:color w:val="000000"/>
          <w:kern w:val="0"/>
          <w:sz w:val="24"/>
          <w:szCs w:val="24"/>
        </w:rPr>
        <w:t>）根据董事会授权、董事长委托，代表公司签署合同和协议，签发日常行政、业务等文件；</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lastRenderedPageBreak/>
        <w:t>（十</w:t>
      </w:r>
      <w:r w:rsidR="00F44F66">
        <w:rPr>
          <w:rFonts w:asciiTheme="minorEastAsia" w:hAnsiTheme="minorEastAsia" w:cs="宋体" w:hint="eastAsia"/>
          <w:color w:val="000000"/>
          <w:kern w:val="0"/>
          <w:sz w:val="24"/>
          <w:szCs w:val="24"/>
        </w:rPr>
        <w:t>一</w:t>
      </w:r>
      <w:r w:rsidRPr="003C7B11">
        <w:rPr>
          <w:rFonts w:asciiTheme="minorEastAsia" w:hAnsiTheme="minorEastAsia" w:cs="宋体" w:hint="eastAsia"/>
          <w:color w:val="000000"/>
          <w:kern w:val="0"/>
          <w:sz w:val="24"/>
          <w:szCs w:val="24"/>
        </w:rPr>
        <w:t>）对公司定期报告签署书面确认意见，保证公司所披露的信息真实、准确、完整；</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（十</w:t>
      </w:r>
      <w:r w:rsidR="00F44F66">
        <w:rPr>
          <w:rFonts w:asciiTheme="minorEastAsia" w:hAnsiTheme="minorEastAsia" w:cs="宋体" w:hint="eastAsia"/>
          <w:color w:val="000000"/>
          <w:kern w:val="0"/>
          <w:sz w:val="24"/>
          <w:szCs w:val="24"/>
        </w:rPr>
        <w:t>二</w:t>
      </w:r>
      <w:r w:rsidRPr="003C7B11">
        <w:rPr>
          <w:rFonts w:asciiTheme="minorEastAsia" w:hAnsiTheme="minorEastAsia" w:cs="宋体" w:hint="eastAsia"/>
          <w:color w:val="000000"/>
          <w:kern w:val="0"/>
          <w:sz w:val="24"/>
          <w:szCs w:val="24"/>
        </w:rPr>
        <w:t>）列席董事会会议；</w:t>
      </w:r>
    </w:p>
    <w:p w:rsidR="006759A1" w:rsidRDefault="006759A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（十三）</w:t>
      </w:r>
      <w:r w:rsidRPr="006759A1">
        <w:rPr>
          <w:rFonts w:asciiTheme="minorEastAsia" w:hAnsiTheme="minorEastAsia" w:cs="宋体"/>
          <w:color w:val="000000"/>
          <w:kern w:val="0"/>
          <w:sz w:val="24"/>
          <w:szCs w:val="24"/>
        </w:rPr>
        <w:t>如实向监事会提供有关情况和资料，不得妨碍监事会或者监事行使职权；</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（十</w:t>
      </w:r>
      <w:r w:rsidR="006759A1">
        <w:rPr>
          <w:rFonts w:asciiTheme="minorEastAsia" w:hAnsiTheme="minorEastAsia" w:cs="宋体" w:hint="eastAsia"/>
          <w:color w:val="000000"/>
          <w:kern w:val="0"/>
          <w:sz w:val="24"/>
          <w:szCs w:val="24"/>
        </w:rPr>
        <w:t>四</w:t>
      </w:r>
      <w:r w:rsidRPr="003C7B11">
        <w:rPr>
          <w:rFonts w:asciiTheme="minorEastAsia" w:hAnsiTheme="minorEastAsia" w:cs="宋体" w:hint="eastAsia"/>
          <w:color w:val="000000"/>
          <w:kern w:val="0"/>
          <w:sz w:val="24"/>
          <w:szCs w:val="24"/>
        </w:rPr>
        <w:t>）《公司章程》或董事会授予的其他职权。</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第十三条 总经理按照法律法规、《公司章程》和董事会的授权履行职责，在《公司章程》和董事会的授权范围内代表公司对外开展各项经营活动，对公司所开展的各项经营活动的合规性承担相应领导责任。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第十四条 总经理在日常的经营管理工作中，应确保公司内部控制和风险管理制度等各项规章制度的贯彻执行，承担公司资产和资金安全性的领导责任。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总经理应自觉维护内控系统的有效运作，及时处理或纠正内控体制中存在的缺陷或问题。</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第十五条 副总经理履行下列职责：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（一）协助总经理工作，对总经理负责；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（二）按照总经理办公会议决定的分工，主管相应的部门或工作，并承担相应责任；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（三）在主管工作范围内，就人员任免、机构变更等事项向总经理提出建议；</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（四）按照公司审批权限的规定，批准或审核所主管部门的业务开展，并承担相应责任；</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（五）就公司相关重大事项，向总经理提出建议；</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（六）在总经理无法履行职权时，接受总经理委托或根据董事会决议代行总经理职权；</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（七）负责总经理安排的其他工作。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第十六条 </w:t>
      </w:r>
      <w:r w:rsidR="006E7E05">
        <w:rPr>
          <w:rFonts w:asciiTheme="minorEastAsia" w:hAnsiTheme="minorEastAsia" w:cs="宋体" w:hint="eastAsia"/>
          <w:color w:val="000000"/>
          <w:kern w:val="0"/>
          <w:sz w:val="24"/>
          <w:szCs w:val="24"/>
        </w:rPr>
        <w:t>财务负责人</w:t>
      </w:r>
      <w:r w:rsidRPr="003C7B11">
        <w:rPr>
          <w:rFonts w:asciiTheme="minorEastAsia" w:hAnsiTheme="minorEastAsia" w:cs="宋体" w:hint="eastAsia"/>
          <w:color w:val="000000"/>
          <w:kern w:val="0"/>
          <w:sz w:val="24"/>
          <w:szCs w:val="24"/>
        </w:rPr>
        <w:t>履行下列职责：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（一）根据法律法规、监管机构的规定及《公司章程》的相关规定履行职责；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（二）对公司财务工作进行全面系统的管理，并对总经理负责；</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（三）组织建立健全公司会计核算和财务管理体系，审核公司的重要会计事项；</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lastRenderedPageBreak/>
        <w:t>（四）组织公司财务预算和决算的编制、审核以及实施工作；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（五）组织实施公司成本管理工作，有效控制成本费用；</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（六）组织实施公司资金管理工作，提高资金的使用效率；</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（七）组织制订有效的融资计划，充分利用各种融资渠道；</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（八）对公司经营活动进行财务分析和财务监督，并从财务的角度提出合理化建议；</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（九）负责总经理安排的其他工作。</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第十七条 董事会秘书根据法律法规、监管机构的规定及《公司章程》的相关规定履行职责。</w:t>
      </w:r>
    </w:p>
    <w:p w:rsidR="00D36B55" w:rsidRPr="009B7633" w:rsidRDefault="003C7B11" w:rsidP="009B7633">
      <w:pPr>
        <w:pStyle w:val="2"/>
        <w:jc w:val="center"/>
        <w:rPr>
          <w:sz w:val="24"/>
          <w:szCs w:val="24"/>
        </w:rPr>
      </w:pPr>
      <w:r w:rsidRPr="003C7B11">
        <w:rPr>
          <w:rFonts w:hint="eastAsia"/>
          <w:sz w:val="24"/>
          <w:szCs w:val="24"/>
        </w:rPr>
        <w:t>第四章 总经理办公会议</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第十八条 公司实行总经理负责下的总经理办公会议制度，有关公司经营、管理和发展的重大事项提交总经理办公会议审议，除须由股东大会、董事会、董事长审议通过的事项外，由总经理办公会作出决</w:t>
      </w:r>
      <w:r w:rsidR="00F85012">
        <w:rPr>
          <w:rFonts w:asciiTheme="minorEastAsia" w:hAnsiTheme="minorEastAsia" w:cs="宋体" w:hint="eastAsia"/>
          <w:color w:val="000000"/>
          <w:kern w:val="0"/>
          <w:sz w:val="24"/>
          <w:szCs w:val="24"/>
        </w:rPr>
        <w:t>定</w:t>
      </w:r>
      <w:r w:rsidRPr="003C7B11">
        <w:rPr>
          <w:rFonts w:asciiTheme="minorEastAsia" w:hAnsiTheme="minorEastAsia" w:cs="宋体" w:hint="eastAsia"/>
          <w:color w:val="000000"/>
          <w:kern w:val="0"/>
          <w:sz w:val="24"/>
          <w:szCs w:val="24"/>
        </w:rPr>
        <w:t>。</w:t>
      </w:r>
    </w:p>
    <w:p w:rsidR="005B39C9" w:rsidRPr="0026098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第十九条 </w:t>
      </w:r>
      <w:r w:rsidRPr="00260989">
        <w:rPr>
          <w:rFonts w:asciiTheme="minorEastAsia" w:hAnsiTheme="minorEastAsia" w:cs="宋体" w:hint="eastAsia"/>
          <w:color w:val="000000"/>
          <w:kern w:val="0"/>
          <w:sz w:val="24"/>
          <w:szCs w:val="24"/>
        </w:rPr>
        <w:t>总经理办公会议每月例行召开一次，会议参加人员为总经理、副总经理、董事会秘书、财务负责人及其他高级管理人员，部门负责人、业务骨干等相关人员根据会议需要出席会议；公司董事、监事可列席会议。</w:t>
      </w:r>
    </w:p>
    <w:p w:rsidR="005B39C9" w:rsidRPr="0026098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hint="eastAsia"/>
          <w:color w:val="000000"/>
          <w:kern w:val="0"/>
          <w:sz w:val="24"/>
          <w:szCs w:val="24"/>
        </w:rPr>
        <w:t>会议由</w:t>
      </w:r>
      <w:r w:rsidR="006E7E05" w:rsidRPr="00260989">
        <w:rPr>
          <w:rFonts w:asciiTheme="minorEastAsia" w:hAnsiTheme="minorEastAsia" w:cs="宋体" w:hint="eastAsia"/>
          <w:color w:val="000000"/>
          <w:kern w:val="0"/>
          <w:sz w:val="24"/>
          <w:szCs w:val="24"/>
        </w:rPr>
        <w:t>公司综合</w:t>
      </w:r>
      <w:r w:rsidRPr="00260989">
        <w:rPr>
          <w:rFonts w:asciiTheme="minorEastAsia" w:hAnsiTheme="minorEastAsia" w:cs="宋体" w:hint="eastAsia"/>
          <w:color w:val="000000"/>
          <w:kern w:val="0"/>
          <w:sz w:val="24"/>
          <w:szCs w:val="24"/>
        </w:rPr>
        <w:t>办公室负责通知，于会议召开1日前书面或电话形式通知全体与会人员。会议通知应说明召开会议的时间、地点及主要议题。</w:t>
      </w:r>
    </w:p>
    <w:p w:rsidR="005B39C9" w:rsidRPr="0026098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hint="eastAsia"/>
          <w:color w:val="000000"/>
          <w:kern w:val="0"/>
          <w:sz w:val="24"/>
          <w:szCs w:val="24"/>
        </w:rPr>
        <w:t>第二十条 总经理办公会议由总经理召集并主持，如遇总经</w:t>
      </w:r>
      <w:bookmarkStart w:id="0" w:name="_GoBack"/>
      <w:bookmarkEnd w:id="0"/>
      <w:r w:rsidRPr="00260989">
        <w:rPr>
          <w:rFonts w:asciiTheme="minorEastAsia" w:hAnsiTheme="minorEastAsia" w:cs="宋体" w:hint="eastAsia"/>
          <w:color w:val="000000"/>
          <w:kern w:val="0"/>
          <w:sz w:val="24"/>
          <w:szCs w:val="24"/>
        </w:rPr>
        <w:t>理因故不能履行职责时，由总经理指定副总经理代为召集和主持。</w:t>
      </w:r>
    </w:p>
    <w:p w:rsidR="005B39C9" w:rsidRPr="0026098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hint="eastAsia"/>
          <w:color w:val="000000"/>
          <w:kern w:val="0"/>
          <w:sz w:val="24"/>
          <w:szCs w:val="24"/>
        </w:rPr>
        <w:t>第二十一条 公司进行对外投资、收购出售资产、提供财务资助、资产抵押等交易时符合下列标准的，由总经理办公会议审议批准：</w:t>
      </w:r>
    </w:p>
    <w:p w:rsidR="00017F42"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（一） 连续十二个月内购买、出售重大资产（不含购买原材料、燃料 和动力，以及出售产品、商品等与日常经营相关的资产）占公司最近一期经审计总资产 10%以</w:t>
      </w:r>
      <w:r w:rsidRPr="00260989">
        <w:rPr>
          <w:rFonts w:asciiTheme="minorEastAsia" w:hAnsiTheme="minorEastAsia" w:cs="宋体" w:hint="eastAsia"/>
          <w:color w:val="000000"/>
          <w:kern w:val="0"/>
          <w:sz w:val="24"/>
          <w:szCs w:val="24"/>
        </w:rPr>
        <w:t>内</w:t>
      </w:r>
      <w:r w:rsidRPr="00260989">
        <w:rPr>
          <w:rFonts w:asciiTheme="minorEastAsia" w:hAnsiTheme="minorEastAsia" w:cs="宋体"/>
          <w:color w:val="000000"/>
          <w:kern w:val="0"/>
          <w:sz w:val="24"/>
          <w:szCs w:val="24"/>
        </w:rPr>
        <w:t xml:space="preserve">； </w:t>
      </w:r>
    </w:p>
    <w:p w:rsidR="00017F42"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 xml:space="preserve">（二） 交易涉及的资产总额（同时存在帐面值和评估值的，以高者为准）占公司最近一期经审计总资产的10％以内； </w:t>
      </w:r>
    </w:p>
    <w:p w:rsidR="00017F42"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（三） 交易标的（如股权）在最近一个会计年度相关的营业收入占公司最近一个会计年度经审计营业收入的10%以</w:t>
      </w:r>
      <w:r w:rsidRPr="00260989">
        <w:rPr>
          <w:rFonts w:asciiTheme="minorEastAsia" w:hAnsiTheme="minorEastAsia" w:cs="宋体" w:hint="eastAsia"/>
          <w:color w:val="000000"/>
          <w:kern w:val="0"/>
          <w:sz w:val="24"/>
          <w:szCs w:val="24"/>
        </w:rPr>
        <w:t>内</w:t>
      </w:r>
      <w:r w:rsidR="00FD4AD6" w:rsidRPr="00260989">
        <w:rPr>
          <w:rFonts w:asciiTheme="minorEastAsia" w:hAnsiTheme="minorEastAsia" w:cs="宋体" w:hint="eastAsia"/>
          <w:color w:val="000000"/>
          <w:kern w:val="0"/>
          <w:sz w:val="24"/>
          <w:szCs w:val="24"/>
        </w:rPr>
        <w:t>，</w:t>
      </w:r>
      <w:r w:rsidR="00FD4AD6" w:rsidRPr="00260989">
        <w:rPr>
          <w:rFonts w:asciiTheme="minorEastAsia" w:hAnsiTheme="minorEastAsia" w:cs="宋体"/>
          <w:color w:val="000000"/>
          <w:kern w:val="0"/>
          <w:sz w:val="24"/>
          <w:szCs w:val="24"/>
        </w:rPr>
        <w:t>或者绝对金额在1000万元以内</w:t>
      </w:r>
      <w:r w:rsidRPr="00260989">
        <w:rPr>
          <w:rFonts w:asciiTheme="minorEastAsia" w:hAnsiTheme="minorEastAsia" w:cs="宋体"/>
          <w:color w:val="000000"/>
          <w:kern w:val="0"/>
          <w:sz w:val="24"/>
          <w:szCs w:val="24"/>
        </w:rPr>
        <w:t xml:space="preserve">； </w:t>
      </w:r>
    </w:p>
    <w:p w:rsidR="00017F42"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lastRenderedPageBreak/>
        <w:t>（四） 交易标的（如股权）在最近一个会计年度相关的净利润占公司最近一个会计年度经审计净利润的10％以内</w:t>
      </w:r>
      <w:r w:rsidR="00FD4AD6" w:rsidRPr="00260989">
        <w:rPr>
          <w:rFonts w:asciiTheme="minorEastAsia" w:hAnsiTheme="minorEastAsia" w:cs="宋体"/>
          <w:color w:val="000000"/>
          <w:kern w:val="0"/>
          <w:sz w:val="24"/>
          <w:szCs w:val="24"/>
        </w:rPr>
        <w:t>，或者绝对金额在</w:t>
      </w:r>
      <w:r w:rsidR="00FD4AD6" w:rsidRPr="00260989">
        <w:rPr>
          <w:rFonts w:asciiTheme="minorEastAsia" w:hAnsiTheme="minorEastAsia" w:cs="宋体" w:hint="eastAsia"/>
          <w:color w:val="000000"/>
          <w:kern w:val="0"/>
          <w:sz w:val="24"/>
          <w:szCs w:val="24"/>
        </w:rPr>
        <w:t>5</w:t>
      </w:r>
      <w:r w:rsidR="00FD4AD6" w:rsidRPr="00260989">
        <w:rPr>
          <w:rFonts w:asciiTheme="minorEastAsia" w:hAnsiTheme="minorEastAsia" w:cs="宋体"/>
          <w:color w:val="000000"/>
          <w:kern w:val="0"/>
          <w:sz w:val="24"/>
          <w:szCs w:val="24"/>
        </w:rPr>
        <w:t>00万元以内</w:t>
      </w:r>
      <w:r w:rsidRPr="00260989">
        <w:rPr>
          <w:rFonts w:asciiTheme="minorEastAsia" w:hAnsiTheme="minorEastAsia" w:cs="宋体"/>
          <w:color w:val="000000"/>
          <w:kern w:val="0"/>
          <w:sz w:val="24"/>
          <w:szCs w:val="24"/>
        </w:rPr>
        <w:t>；</w:t>
      </w:r>
    </w:p>
    <w:p w:rsidR="00DB7D7E"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（五） 交易的成交金额（含承担债务和费用）占公司最近一期经审计净资产的 10％以</w:t>
      </w:r>
      <w:r w:rsidRPr="00260989">
        <w:rPr>
          <w:rFonts w:asciiTheme="minorEastAsia" w:hAnsiTheme="minorEastAsia" w:cs="宋体" w:hint="eastAsia"/>
          <w:color w:val="000000"/>
          <w:kern w:val="0"/>
          <w:sz w:val="24"/>
          <w:szCs w:val="24"/>
        </w:rPr>
        <w:t>内</w:t>
      </w:r>
      <w:r w:rsidR="00FD4AD6" w:rsidRPr="00260989">
        <w:rPr>
          <w:rFonts w:asciiTheme="minorEastAsia" w:hAnsiTheme="minorEastAsia" w:cs="宋体" w:hint="eastAsia"/>
          <w:color w:val="000000"/>
          <w:kern w:val="0"/>
          <w:sz w:val="24"/>
          <w:szCs w:val="24"/>
        </w:rPr>
        <w:t>，或者绝对金额在1</w:t>
      </w:r>
      <w:r w:rsidR="00FD4AD6" w:rsidRPr="00260989">
        <w:rPr>
          <w:rFonts w:asciiTheme="minorEastAsia" w:hAnsiTheme="minorEastAsia" w:cs="宋体"/>
          <w:color w:val="000000"/>
          <w:kern w:val="0"/>
          <w:sz w:val="24"/>
          <w:szCs w:val="24"/>
        </w:rPr>
        <w:t>000万元以内</w:t>
      </w:r>
      <w:r w:rsidRPr="00260989">
        <w:rPr>
          <w:rFonts w:asciiTheme="minorEastAsia" w:hAnsiTheme="minorEastAsia" w:cs="宋体"/>
          <w:color w:val="000000"/>
          <w:kern w:val="0"/>
          <w:sz w:val="24"/>
          <w:szCs w:val="24"/>
        </w:rPr>
        <w:t>；</w:t>
      </w:r>
    </w:p>
    <w:p w:rsidR="00DB7D7E"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 xml:space="preserve"> （六） 交易产生的利润占公司最近一个会计年度经审计净利润的 10％</w:t>
      </w:r>
      <w:r w:rsidR="00DB7D7E" w:rsidRPr="00260989">
        <w:rPr>
          <w:rFonts w:asciiTheme="minorEastAsia" w:hAnsiTheme="minorEastAsia" w:cs="宋体"/>
          <w:color w:val="000000"/>
          <w:kern w:val="0"/>
          <w:sz w:val="24"/>
          <w:szCs w:val="24"/>
        </w:rPr>
        <w:t>以内</w:t>
      </w:r>
      <w:r w:rsidR="00FD4AD6" w:rsidRPr="00260989">
        <w:rPr>
          <w:rFonts w:asciiTheme="minorEastAsia" w:hAnsiTheme="minorEastAsia" w:cs="宋体"/>
          <w:color w:val="000000"/>
          <w:kern w:val="0"/>
          <w:sz w:val="24"/>
          <w:szCs w:val="24"/>
        </w:rPr>
        <w:t>，或者绝对金额在</w:t>
      </w:r>
      <w:r w:rsidR="00FD4AD6" w:rsidRPr="00260989">
        <w:rPr>
          <w:rFonts w:asciiTheme="minorEastAsia" w:hAnsiTheme="minorEastAsia" w:cs="宋体" w:hint="eastAsia"/>
          <w:color w:val="000000"/>
          <w:kern w:val="0"/>
          <w:sz w:val="24"/>
          <w:szCs w:val="24"/>
        </w:rPr>
        <w:t>5</w:t>
      </w:r>
      <w:r w:rsidR="00FD4AD6" w:rsidRPr="00260989">
        <w:rPr>
          <w:rFonts w:asciiTheme="minorEastAsia" w:hAnsiTheme="minorEastAsia" w:cs="宋体"/>
          <w:color w:val="000000"/>
          <w:kern w:val="0"/>
          <w:sz w:val="24"/>
          <w:szCs w:val="24"/>
        </w:rPr>
        <w:t>00万元以内</w:t>
      </w:r>
      <w:r w:rsidRPr="00260989">
        <w:rPr>
          <w:rFonts w:asciiTheme="minorEastAsia" w:hAnsiTheme="minorEastAsia" w:cs="宋体"/>
          <w:color w:val="000000"/>
          <w:kern w:val="0"/>
          <w:sz w:val="24"/>
          <w:szCs w:val="24"/>
        </w:rPr>
        <w:t>。</w:t>
      </w:r>
    </w:p>
    <w:p w:rsidR="00017F42" w:rsidRPr="00260989" w:rsidRDefault="00017F42" w:rsidP="00EB769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color w:val="000000"/>
          <w:kern w:val="0"/>
          <w:sz w:val="24"/>
          <w:szCs w:val="24"/>
        </w:rPr>
        <w:t>本条第二至第六款所称“交易”指：购买或出售资产（不包括购买原 材料、燃料和动力，以及出售产品、商品等与日常经营相关的资产购买或者出售行为，但资产置换中涉及到的此类资产购买或者出售行为，仍包括在内）；对外投资（含委托理财，委托贷款等）；融资（含向金融机构借款）；提供财务资助；租入或者租出资产；签订管理方面的合同（含委托经营、 受托经营等）；赠与或者受赠资产；债权、债务重组；研究与开发项目的转移；签订许可使用协议；上海证券交易所认定的其他交易。</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260989">
        <w:rPr>
          <w:rFonts w:asciiTheme="minorEastAsia" w:hAnsiTheme="minorEastAsia" w:cs="宋体" w:hint="eastAsia"/>
          <w:color w:val="000000"/>
          <w:kern w:val="0"/>
          <w:sz w:val="24"/>
          <w:szCs w:val="24"/>
        </w:rPr>
        <w:t>第二十二条 总经理办公会议对决定事项应充分讨论、积极会商并达成一致意见。未达成一致意见的，以主持会议的总经理或副总经</w:t>
      </w:r>
      <w:r w:rsidRPr="003C7B11">
        <w:rPr>
          <w:rFonts w:asciiTheme="minorEastAsia" w:hAnsiTheme="minorEastAsia" w:cs="宋体" w:hint="eastAsia"/>
          <w:color w:val="000000"/>
          <w:kern w:val="0"/>
          <w:sz w:val="24"/>
          <w:szCs w:val="24"/>
        </w:rPr>
        <w:t>理的意见为准。</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第二十三条 总经理办公会议决定以会议纪要或决议的形式作出。</w:t>
      </w:r>
    </w:p>
    <w:p w:rsidR="005B39C9" w:rsidRDefault="003C7B11" w:rsidP="00EB2881">
      <w:pPr>
        <w:widowControl/>
        <w:shd w:val="clear" w:color="auto" w:fill="FFFFFF"/>
        <w:spacing w:line="360" w:lineRule="auto"/>
        <w:ind w:firstLineChars="200" w:firstLine="480"/>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若决定事项在总经理办公会议的权限范围内，相关会议纪要或决议经主持会议的总经理或副总经理签署后即可发布并实施；若决定事项超出总经理的权限范围，总经理应当按照公司制度规定的审批权限将有关议案提交董事长或董事会决定或审议。</w:t>
      </w:r>
    </w:p>
    <w:p w:rsidR="00D36B55" w:rsidRDefault="003C7B11" w:rsidP="00D36B55">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第二十四条 总经理办公会议纪要</w:t>
      </w:r>
      <w:r w:rsidR="00F85012">
        <w:rPr>
          <w:rFonts w:asciiTheme="minorEastAsia" w:hAnsiTheme="minorEastAsia" w:cs="宋体" w:hint="eastAsia"/>
          <w:color w:val="000000"/>
          <w:kern w:val="0"/>
          <w:sz w:val="24"/>
          <w:szCs w:val="24"/>
        </w:rPr>
        <w:t>或</w:t>
      </w:r>
      <w:r w:rsidRPr="003C7B11">
        <w:rPr>
          <w:rFonts w:asciiTheme="minorEastAsia" w:hAnsiTheme="minorEastAsia" w:cs="宋体" w:hint="eastAsia"/>
          <w:color w:val="000000"/>
          <w:kern w:val="0"/>
          <w:sz w:val="24"/>
          <w:szCs w:val="24"/>
        </w:rPr>
        <w:t>决议内容主要包括：会别、会次、时间、地点、主持人、参加人，会议的主要内容和议定事项。会议</w:t>
      </w:r>
      <w:r w:rsidR="004278B0">
        <w:rPr>
          <w:rFonts w:asciiTheme="minorEastAsia" w:hAnsiTheme="minorEastAsia" w:cs="宋体" w:hint="eastAsia"/>
          <w:color w:val="000000"/>
          <w:kern w:val="0"/>
          <w:sz w:val="24"/>
          <w:szCs w:val="24"/>
        </w:rPr>
        <w:t>决议、</w:t>
      </w:r>
      <w:r w:rsidRPr="003C7B11">
        <w:rPr>
          <w:rFonts w:asciiTheme="minorEastAsia" w:hAnsiTheme="minorEastAsia" w:cs="宋体" w:hint="eastAsia"/>
          <w:color w:val="000000"/>
          <w:kern w:val="0"/>
          <w:sz w:val="24"/>
          <w:szCs w:val="24"/>
        </w:rPr>
        <w:t>纪要应妥善保管并存档。</w:t>
      </w:r>
    </w:p>
    <w:p w:rsidR="005B39C9" w:rsidRPr="009B7633" w:rsidRDefault="003C7B11" w:rsidP="009B7633">
      <w:pPr>
        <w:pStyle w:val="2"/>
        <w:jc w:val="center"/>
        <w:rPr>
          <w:sz w:val="24"/>
          <w:szCs w:val="24"/>
        </w:rPr>
      </w:pPr>
      <w:r w:rsidRPr="003C7B11">
        <w:rPr>
          <w:rFonts w:hint="eastAsia"/>
          <w:sz w:val="24"/>
          <w:szCs w:val="24"/>
        </w:rPr>
        <w:t>第五章 总经理报告制度</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第二十五条 总经理应当定期向董事会、监事会报告工作，原则上每年度一次。</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报告内容包括但不限于：</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（一）公司中长期发展规划及其实施中的问题及对策；</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（二）公司年度计划实施情况和生产经营中存在的问题和对策；</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lastRenderedPageBreak/>
        <w:t>（三）公司重大合同的签订、执行情况；</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（四）董事会决议通过的投资项目、募集资金项目进展情况；</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（五）资产购置和处置事项；</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（六）资产运用和经营盈亏情况；</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（七）经济合同或资产运用过程中可能引发重大诉讼或仲裁的事项；</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（八）其他董事会授权事项的实施情况以及总经理认为需要报告的事项。</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第二十六条 总经理应在公司年度报告披露前，代表经理层向董事会书面报告公司年度经营情况。</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第二十七条 总经理在贯彻实施董事会决议的过程中应及时将有关信息反馈给董事长。</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第二十八条 遇有以下情形时，总经理应及时向董事会、监事会做出临时报告，并通告负责信息披露事务的董事会秘书，提示董事会按照有关规定履行信息披露义务：</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（一）重大合同执行或者生产经营过程中与第三方存在重大争议的事项，或发生重大诉讼、仲裁等纠纷；</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（二）公司生产经营条件或者内、外部环境发生重大变化，或发生重大劳动事故、安全事故；</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（三）预计公司经营业绩出现亏损、扭亏为盈或者同比大幅变动，或者预计公司实际经营业绩与已披露业绩预告情况存在较大差异时；</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（四）公司财务状况发生异常变动；</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（五）公司受到政府部门及其他监管机构的处罚、谴责；</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（六）其他重大突发事件。</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总经理须责成各分管高级管理人员协助董事会秘书及时、完整、准确</w:t>
      </w:r>
      <w:r w:rsidR="004278B0">
        <w:rPr>
          <w:rFonts w:asciiTheme="minorEastAsia" w:hAnsiTheme="minorEastAsia" w:cs="宋体" w:hint="eastAsia"/>
          <w:color w:val="000000"/>
          <w:kern w:val="0"/>
          <w:sz w:val="24"/>
          <w:szCs w:val="24"/>
        </w:rPr>
        <w:t>、真实地进行信息披露。</w:t>
      </w:r>
    </w:p>
    <w:p w:rsidR="005B39C9" w:rsidRPr="009B7633" w:rsidRDefault="003C7B11" w:rsidP="009B7633">
      <w:pPr>
        <w:pStyle w:val="2"/>
        <w:jc w:val="center"/>
        <w:rPr>
          <w:sz w:val="24"/>
          <w:szCs w:val="24"/>
        </w:rPr>
      </w:pPr>
      <w:r w:rsidRPr="003C7B11">
        <w:rPr>
          <w:rFonts w:hint="eastAsia"/>
          <w:sz w:val="24"/>
          <w:szCs w:val="24"/>
        </w:rPr>
        <w:t>第六章 考核与奖励</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第二十九条 公司应建立总经理和其他高级管理人员的薪酬与绩效考核激励机制，以吸引人才，保持总经理和其他高级管理人员的稳定。</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总经理和其他高级管理人员的绩效考核方案由董事会决定。</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lastRenderedPageBreak/>
        <w:t>第三十条 总经理和其他高级管理人员在经营管理中，忠实履行职责，为公司发展和经济效益做出贡献，完成董事会制定的年度目标利润等指标的，应得到奖励；因经营管理不善未完成年度经营指标的，由董事会给予相应处罚。具体奖惩办法另定。</w:t>
      </w:r>
    </w:p>
    <w:p w:rsidR="005B39C9" w:rsidRPr="009B7633" w:rsidRDefault="003C7B11" w:rsidP="009B7633">
      <w:pPr>
        <w:pStyle w:val="2"/>
        <w:jc w:val="center"/>
        <w:rPr>
          <w:sz w:val="24"/>
          <w:szCs w:val="24"/>
        </w:rPr>
      </w:pPr>
      <w:r w:rsidRPr="003C7B11">
        <w:rPr>
          <w:rFonts w:hint="eastAsia"/>
          <w:sz w:val="24"/>
          <w:szCs w:val="24"/>
        </w:rPr>
        <w:t>第七章 附则</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第三十一条 如有未尽事宜，按国家有关法律法规、规范性文件和《公司章程》的规定执行。</w:t>
      </w:r>
      <w:r w:rsidR="00A510AD" w:rsidRPr="00A510AD">
        <w:rPr>
          <w:rFonts w:asciiTheme="minorEastAsia" w:hAnsiTheme="minorEastAsia" w:cs="宋体"/>
          <w:color w:val="000000"/>
          <w:kern w:val="0"/>
          <w:sz w:val="24"/>
          <w:szCs w:val="24"/>
        </w:rPr>
        <w:t>本细则如与国家日后颁布的法律、法规和《公司章程》相抵触时，按国家有关法律、法规和《公司章程》规定执行。</w:t>
      </w:r>
    </w:p>
    <w:p w:rsidR="00A510AD" w:rsidRDefault="00A510AD" w:rsidP="00A510A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A510AD">
        <w:rPr>
          <w:rFonts w:asciiTheme="minorEastAsia" w:hAnsiTheme="minorEastAsia" w:cs="宋体"/>
          <w:color w:val="000000"/>
          <w:kern w:val="0"/>
          <w:sz w:val="24"/>
          <w:szCs w:val="24"/>
        </w:rPr>
        <w:t>第三十</w:t>
      </w:r>
      <w:r w:rsidR="00F85012">
        <w:rPr>
          <w:rFonts w:asciiTheme="minorEastAsia" w:hAnsiTheme="minorEastAsia" w:cs="宋体" w:hint="eastAsia"/>
          <w:color w:val="000000"/>
          <w:kern w:val="0"/>
          <w:sz w:val="24"/>
          <w:szCs w:val="24"/>
        </w:rPr>
        <w:t>二</w:t>
      </w:r>
      <w:r w:rsidRPr="00A510AD">
        <w:rPr>
          <w:rFonts w:asciiTheme="minorEastAsia" w:hAnsiTheme="minorEastAsia" w:cs="宋体"/>
          <w:color w:val="000000"/>
          <w:kern w:val="0"/>
          <w:sz w:val="24"/>
          <w:szCs w:val="24"/>
        </w:rPr>
        <w:t>条本细则所称“以</w:t>
      </w:r>
      <w:r>
        <w:rPr>
          <w:rFonts w:asciiTheme="minorEastAsia" w:hAnsiTheme="minorEastAsia" w:cs="宋体" w:hint="eastAsia"/>
          <w:color w:val="000000"/>
          <w:kern w:val="0"/>
          <w:sz w:val="24"/>
          <w:szCs w:val="24"/>
        </w:rPr>
        <w:t>内”、“</w:t>
      </w:r>
      <w:r>
        <w:rPr>
          <w:rFonts w:asciiTheme="minorEastAsia" w:hAnsiTheme="minorEastAsia" w:cs="宋体"/>
          <w:color w:val="000000"/>
          <w:kern w:val="0"/>
          <w:sz w:val="24"/>
          <w:szCs w:val="24"/>
        </w:rPr>
        <w:t>低于</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不包括本数，“</w:t>
      </w:r>
      <w:r w:rsidRPr="00A510AD">
        <w:rPr>
          <w:rFonts w:asciiTheme="minorEastAsia" w:hAnsiTheme="minorEastAsia" w:cs="宋体"/>
          <w:color w:val="000000"/>
          <w:kern w:val="0"/>
          <w:sz w:val="24"/>
          <w:szCs w:val="24"/>
        </w:rPr>
        <w:t>不超过”包括本数。</w:t>
      </w:r>
    </w:p>
    <w:p w:rsidR="005B39C9"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第三十</w:t>
      </w:r>
      <w:r w:rsidR="00F85012">
        <w:rPr>
          <w:rFonts w:asciiTheme="minorEastAsia" w:hAnsiTheme="minorEastAsia" w:cs="宋体" w:hint="eastAsia"/>
          <w:color w:val="000000"/>
          <w:kern w:val="0"/>
          <w:sz w:val="24"/>
          <w:szCs w:val="24"/>
        </w:rPr>
        <w:t>三</w:t>
      </w:r>
      <w:r w:rsidRPr="003C7B11">
        <w:rPr>
          <w:rFonts w:asciiTheme="minorEastAsia" w:hAnsiTheme="minorEastAsia" w:cs="宋体" w:hint="eastAsia"/>
          <w:color w:val="000000"/>
          <w:kern w:val="0"/>
          <w:sz w:val="24"/>
          <w:szCs w:val="24"/>
        </w:rPr>
        <w:t>条 本细则由公司董事会负责解释和修改。</w:t>
      </w:r>
    </w:p>
    <w:p w:rsidR="00C72CE8" w:rsidRDefault="003C7B11"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3C7B11">
        <w:rPr>
          <w:rFonts w:asciiTheme="minorEastAsia" w:hAnsiTheme="minorEastAsia" w:cs="宋体" w:hint="eastAsia"/>
          <w:color w:val="000000"/>
          <w:kern w:val="0"/>
          <w:sz w:val="24"/>
          <w:szCs w:val="24"/>
        </w:rPr>
        <w:t>第三十</w:t>
      </w:r>
      <w:r w:rsidR="00F85012">
        <w:rPr>
          <w:rFonts w:asciiTheme="minorEastAsia" w:hAnsiTheme="minorEastAsia" w:cs="宋体" w:hint="eastAsia"/>
          <w:color w:val="000000"/>
          <w:kern w:val="0"/>
          <w:sz w:val="24"/>
          <w:szCs w:val="24"/>
        </w:rPr>
        <w:t>四</w:t>
      </w:r>
      <w:r w:rsidRPr="003C7B11">
        <w:rPr>
          <w:rFonts w:asciiTheme="minorEastAsia" w:hAnsiTheme="minorEastAsia" w:cs="宋体" w:hint="eastAsia"/>
          <w:color w:val="000000"/>
          <w:kern w:val="0"/>
          <w:sz w:val="24"/>
          <w:szCs w:val="24"/>
        </w:rPr>
        <w:t>条 本细则自公司董事会审议通过之日起实施。</w:t>
      </w: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Default="00986E69" w:rsidP="00EB2881">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986E69" w:rsidRPr="005B39C9" w:rsidRDefault="00986E69" w:rsidP="00986E69">
      <w:pPr>
        <w:widowControl/>
        <w:shd w:val="clear" w:color="auto" w:fill="FFFFFF"/>
        <w:spacing w:line="360" w:lineRule="auto"/>
        <w:ind w:firstLineChars="2250" w:firstLine="5400"/>
        <w:jc w:val="left"/>
        <w:rPr>
          <w:rFonts w:asciiTheme="minorEastAsia" w:hAnsiTheme="minorEastAsia"/>
          <w:sz w:val="24"/>
          <w:szCs w:val="24"/>
        </w:rPr>
      </w:pPr>
    </w:p>
    <w:sectPr w:rsidR="00986E69" w:rsidRPr="005B39C9" w:rsidSect="00C72CE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514C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59" w:rsidRDefault="008F6559" w:rsidP="00017F42">
      <w:r>
        <w:separator/>
      </w:r>
    </w:p>
  </w:endnote>
  <w:endnote w:type="continuationSeparator" w:id="1">
    <w:p w:rsidR="008F6559" w:rsidRDefault="008F6559" w:rsidP="00017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59" w:rsidRDefault="008F6559" w:rsidP="00017F42">
      <w:r>
        <w:separator/>
      </w:r>
    </w:p>
  </w:footnote>
  <w:footnote w:type="continuationSeparator" w:id="1">
    <w:p w:rsidR="008F6559" w:rsidRDefault="008F6559" w:rsidP="00017F4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86c1c942e0ef1a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B11"/>
    <w:rsid w:val="00017F42"/>
    <w:rsid w:val="000543E5"/>
    <w:rsid w:val="000C0C7A"/>
    <w:rsid w:val="00260989"/>
    <w:rsid w:val="00291497"/>
    <w:rsid w:val="002A2173"/>
    <w:rsid w:val="003C7B11"/>
    <w:rsid w:val="003E524B"/>
    <w:rsid w:val="004278B0"/>
    <w:rsid w:val="00563019"/>
    <w:rsid w:val="005B39C9"/>
    <w:rsid w:val="006072BF"/>
    <w:rsid w:val="00627A39"/>
    <w:rsid w:val="006759A1"/>
    <w:rsid w:val="006855D1"/>
    <w:rsid w:val="00687396"/>
    <w:rsid w:val="006C2A47"/>
    <w:rsid w:val="006E7E05"/>
    <w:rsid w:val="00737D80"/>
    <w:rsid w:val="0079464A"/>
    <w:rsid w:val="00811F42"/>
    <w:rsid w:val="00812E93"/>
    <w:rsid w:val="008661B4"/>
    <w:rsid w:val="008846BD"/>
    <w:rsid w:val="008F4582"/>
    <w:rsid w:val="008F6559"/>
    <w:rsid w:val="009569B1"/>
    <w:rsid w:val="00986E69"/>
    <w:rsid w:val="009B7633"/>
    <w:rsid w:val="009D17A4"/>
    <w:rsid w:val="00A510AD"/>
    <w:rsid w:val="00B70106"/>
    <w:rsid w:val="00BA6513"/>
    <w:rsid w:val="00BC2D15"/>
    <w:rsid w:val="00C67BE4"/>
    <w:rsid w:val="00C72CE8"/>
    <w:rsid w:val="00D36B55"/>
    <w:rsid w:val="00D4380C"/>
    <w:rsid w:val="00D64FDA"/>
    <w:rsid w:val="00DB7D7E"/>
    <w:rsid w:val="00DE01DA"/>
    <w:rsid w:val="00E107B6"/>
    <w:rsid w:val="00EB2881"/>
    <w:rsid w:val="00EB7691"/>
    <w:rsid w:val="00EE3F0B"/>
    <w:rsid w:val="00F44F66"/>
    <w:rsid w:val="00F63C85"/>
    <w:rsid w:val="00F70AAC"/>
    <w:rsid w:val="00F85012"/>
    <w:rsid w:val="00FC4ADE"/>
    <w:rsid w:val="00FD4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E8"/>
    <w:pPr>
      <w:widowControl w:val="0"/>
      <w:jc w:val="both"/>
    </w:pPr>
  </w:style>
  <w:style w:type="paragraph" w:styleId="1">
    <w:name w:val="heading 1"/>
    <w:basedOn w:val="a"/>
    <w:link w:val="1Char"/>
    <w:uiPriority w:val="9"/>
    <w:qFormat/>
    <w:rsid w:val="003C7B1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C7B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7B11"/>
    <w:rPr>
      <w:rFonts w:ascii="宋体" w:eastAsia="宋体" w:hAnsi="宋体" w:cs="宋体"/>
      <w:b/>
      <w:bCs/>
      <w:kern w:val="36"/>
      <w:sz w:val="48"/>
      <w:szCs w:val="48"/>
    </w:rPr>
  </w:style>
  <w:style w:type="character" w:customStyle="1" w:styleId="2Char">
    <w:name w:val="标题 2 Char"/>
    <w:basedOn w:val="a0"/>
    <w:link w:val="2"/>
    <w:uiPriority w:val="9"/>
    <w:rsid w:val="003C7B11"/>
    <w:rPr>
      <w:rFonts w:ascii="宋体" w:eastAsia="宋体" w:hAnsi="宋体" w:cs="宋体"/>
      <w:b/>
      <w:bCs/>
      <w:kern w:val="0"/>
      <w:sz w:val="36"/>
      <w:szCs w:val="36"/>
    </w:rPr>
  </w:style>
  <w:style w:type="paragraph" w:styleId="a3">
    <w:name w:val="List Paragraph"/>
    <w:basedOn w:val="a"/>
    <w:uiPriority w:val="34"/>
    <w:qFormat/>
    <w:rsid w:val="005B39C9"/>
    <w:pPr>
      <w:ind w:firstLineChars="200" w:firstLine="420"/>
    </w:pPr>
  </w:style>
  <w:style w:type="paragraph" w:styleId="a4">
    <w:name w:val="Document Map"/>
    <w:basedOn w:val="a"/>
    <w:link w:val="Char"/>
    <w:uiPriority w:val="99"/>
    <w:semiHidden/>
    <w:unhideWhenUsed/>
    <w:rsid w:val="00017F42"/>
    <w:rPr>
      <w:rFonts w:ascii="宋体" w:eastAsia="宋体"/>
      <w:sz w:val="18"/>
      <w:szCs w:val="18"/>
    </w:rPr>
  </w:style>
  <w:style w:type="character" w:customStyle="1" w:styleId="Char">
    <w:name w:val="文档结构图 Char"/>
    <w:basedOn w:val="a0"/>
    <w:link w:val="a4"/>
    <w:uiPriority w:val="99"/>
    <w:semiHidden/>
    <w:rsid w:val="00017F42"/>
    <w:rPr>
      <w:rFonts w:ascii="宋体" w:eastAsia="宋体"/>
      <w:sz w:val="18"/>
      <w:szCs w:val="18"/>
    </w:rPr>
  </w:style>
  <w:style w:type="paragraph" w:styleId="a5">
    <w:name w:val="header"/>
    <w:basedOn w:val="a"/>
    <w:link w:val="Char0"/>
    <w:uiPriority w:val="99"/>
    <w:unhideWhenUsed/>
    <w:rsid w:val="00017F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7F42"/>
    <w:rPr>
      <w:sz w:val="18"/>
      <w:szCs w:val="18"/>
    </w:rPr>
  </w:style>
  <w:style w:type="paragraph" w:styleId="a6">
    <w:name w:val="footer"/>
    <w:basedOn w:val="a"/>
    <w:link w:val="Char1"/>
    <w:uiPriority w:val="99"/>
    <w:unhideWhenUsed/>
    <w:rsid w:val="00017F42"/>
    <w:pPr>
      <w:tabs>
        <w:tab w:val="center" w:pos="4153"/>
        <w:tab w:val="right" w:pos="8306"/>
      </w:tabs>
      <w:snapToGrid w:val="0"/>
      <w:jc w:val="left"/>
    </w:pPr>
    <w:rPr>
      <w:sz w:val="18"/>
      <w:szCs w:val="18"/>
    </w:rPr>
  </w:style>
  <w:style w:type="character" w:customStyle="1" w:styleId="Char1">
    <w:name w:val="页脚 Char"/>
    <w:basedOn w:val="a0"/>
    <w:link w:val="a6"/>
    <w:uiPriority w:val="99"/>
    <w:rsid w:val="00017F42"/>
    <w:rPr>
      <w:sz w:val="18"/>
      <w:szCs w:val="18"/>
    </w:rPr>
  </w:style>
  <w:style w:type="character" w:styleId="a7">
    <w:name w:val="annotation reference"/>
    <w:basedOn w:val="a0"/>
    <w:uiPriority w:val="99"/>
    <w:semiHidden/>
    <w:unhideWhenUsed/>
    <w:rsid w:val="00D4380C"/>
    <w:rPr>
      <w:sz w:val="21"/>
      <w:szCs w:val="21"/>
    </w:rPr>
  </w:style>
  <w:style w:type="paragraph" w:styleId="a8">
    <w:name w:val="annotation text"/>
    <w:basedOn w:val="a"/>
    <w:link w:val="Char2"/>
    <w:uiPriority w:val="99"/>
    <w:semiHidden/>
    <w:unhideWhenUsed/>
    <w:rsid w:val="00D4380C"/>
    <w:pPr>
      <w:jc w:val="left"/>
    </w:pPr>
  </w:style>
  <w:style w:type="character" w:customStyle="1" w:styleId="Char2">
    <w:name w:val="批注文字 Char"/>
    <w:basedOn w:val="a0"/>
    <w:link w:val="a8"/>
    <w:uiPriority w:val="99"/>
    <w:semiHidden/>
    <w:rsid w:val="00D4380C"/>
  </w:style>
  <w:style w:type="paragraph" w:styleId="a9">
    <w:name w:val="annotation subject"/>
    <w:basedOn w:val="a8"/>
    <w:next w:val="a8"/>
    <w:link w:val="Char3"/>
    <w:uiPriority w:val="99"/>
    <w:semiHidden/>
    <w:unhideWhenUsed/>
    <w:rsid w:val="00D4380C"/>
    <w:rPr>
      <w:b/>
      <w:bCs/>
    </w:rPr>
  </w:style>
  <w:style w:type="character" w:customStyle="1" w:styleId="Char3">
    <w:name w:val="批注主题 Char"/>
    <w:basedOn w:val="Char2"/>
    <w:link w:val="a9"/>
    <w:uiPriority w:val="99"/>
    <w:semiHidden/>
    <w:rsid w:val="00D4380C"/>
    <w:rPr>
      <w:b/>
      <w:bCs/>
    </w:rPr>
  </w:style>
  <w:style w:type="paragraph" w:styleId="aa">
    <w:name w:val="Balloon Text"/>
    <w:basedOn w:val="a"/>
    <w:link w:val="Char4"/>
    <w:uiPriority w:val="99"/>
    <w:semiHidden/>
    <w:unhideWhenUsed/>
    <w:rsid w:val="00D4380C"/>
    <w:rPr>
      <w:sz w:val="18"/>
      <w:szCs w:val="18"/>
    </w:rPr>
  </w:style>
  <w:style w:type="character" w:customStyle="1" w:styleId="Char4">
    <w:name w:val="批注框文本 Char"/>
    <w:basedOn w:val="a0"/>
    <w:link w:val="aa"/>
    <w:uiPriority w:val="99"/>
    <w:semiHidden/>
    <w:rsid w:val="00D4380C"/>
    <w:rPr>
      <w:sz w:val="18"/>
      <w:szCs w:val="18"/>
    </w:rPr>
  </w:style>
</w:styles>
</file>

<file path=word/webSettings.xml><?xml version="1.0" encoding="utf-8"?>
<w:webSettings xmlns:r="http://schemas.openxmlformats.org/officeDocument/2006/relationships" xmlns:w="http://schemas.openxmlformats.org/wordprocessingml/2006/main">
  <w:divs>
    <w:div w:id="652224459">
      <w:bodyDiv w:val="1"/>
      <w:marLeft w:val="0"/>
      <w:marRight w:val="0"/>
      <w:marTop w:val="0"/>
      <w:marBottom w:val="0"/>
      <w:divBdr>
        <w:top w:val="none" w:sz="0" w:space="0" w:color="auto"/>
        <w:left w:val="none" w:sz="0" w:space="0" w:color="auto"/>
        <w:bottom w:val="none" w:sz="0" w:space="0" w:color="auto"/>
        <w:right w:val="none" w:sz="0" w:space="0" w:color="auto"/>
      </w:divBdr>
      <w:divsChild>
        <w:div w:id="1514146341">
          <w:marLeft w:val="0"/>
          <w:marRight w:val="0"/>
          <w:marTop w:val="0"/>
          <w:marBottom w:val="0"/>
          <w:divBdr>
            <w:top w:val="single" w:sz="4" w:space="5" w:color="E7E7E7"/>
            <w:left w:val="single" w:sz="4" w:space="10" w:color="E7E7E7"/>
            <w:bottom w:val="single" w:sz="4" w:space="5" w:color="E7E7E7"/>
            <w:right w:val="single" w:sz="4" w:space="10" w:color="E7E7E7"/>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2021-08-10T13:30:00Z</dcterms:created>
  <dcterms:modified xsi:type="dcterms:W3CDTF">2021-08-10T14:06:00Z</dcterms:modified>
</cp:coreProperties>
</file>